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ISTITUTO D’ISTRUZIONE SUPERIORE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“JULIA-F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ALCONE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ACRI (CS)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Scheda di progetto a. s. 20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24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- 20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ANAGRAFICA 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1215"/>
        <w:gridCol w:w="6420"/>
        <w:tblGridChange w:id="0">
          <w:tblGrid>
            <w:gridCol w:w="2370"/>
            <w:gridCol w:w="1215"/>
            <w:gridCol w:w="642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COERENZA CON I DOCUMENTI D’ISTITUTO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PTOF 2022/25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Priorità fissate per il servizio di istruzione e formazione nel triennio di riferimento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Pianificazione ampliamento offerta formativa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RAV Sezione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ESITI </w:t>
              <w:tab/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RISULTATI SCOLASTICI - RISULTATI NELLE PROVE STANDARDIZZATE NAZIONALI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PRIORITÀ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Innalzamento dei risultati scolastici con particolare riferimento alle discipline di indirizzo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Adozione di strategie per il miglioramento delle competenze degli studenti soprattutto in Matematica, attraverso lo svolgimento di un percorso di autovalutazione, secondo cui la partecipazione alle prove standardizzate è una delle tappe per autovalutarsi e migliorarsi.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TRAGUARDI</w:t>
              <w:tab/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Miglioramento degli esiti, in termini di competenze, nelle valutazioni intermedie e finali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Innalzamento dei risultati nelle prove standardizzate in Italiano e Matematica.</w:t>
            </w:r>
          </w:p>
          <w:p w:rsidR="00000000" w:rsidDel="00000000" w:rsidP="00000000" w:rsidRDefault="00000000" w:rsidRPr="00000000" w14:paraId="00000022">
            <w:pPr>
              <w:pageBreakBefore w:val="0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PRIORITÀ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Promuovere l'acquisizione di competenze di cittadinanza attiva e ispirate alla legalità.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TRAGUARDI</w:t>
              <w:tab/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Attraverso l'elaborazione del curricolo di cittadinanza, promuovere negli alunni la consapevolezza del proprio ruolo civico-sociale, individuale e collettivo, in termini di acquisizione di competenze di cittadinanza attiva, digitale, ecosistemica e costituzionale.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PdM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60" w:before="300" w:line="264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bookmarkStart w:colFirst="0" w:colLast="0" w:name="_q2ebpl75sryb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OBIETTIVI DI PROCESSO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60" w:before="300" w:line="264" w:lineRule="auto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71ql592yzjjf" w:id="1"/>
            <w:bookmarkEnd w:id="1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Curricolo, progettazione e valutazione</w:t>
            </w:r>
          </w:p>
          <w:tbl>
            <w:tblPr>
              <w:tblStyle w:val="Table3"/>
              <w:tblW w:w="62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210"/>
              <w:tblGridChange w:id="0">
                <w:tblGrid>
                  <w:gridCol w:w="6210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ffffff" w:space="0" w:sz="12" w:val="single"/>
                    <w:left w:color="ffffff" w:space="0" w:sz="12" w:val="single"/>
                    <w:bottom w:color="ffffff" w:space="0" w:sz="12" w:val="single"/>
                    <w:right w:color="ffffff" w:space="0" w:sz="12" w:val="single"/>
                  </w:tcBorders>
                  <w:shd w:fill="ffffff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numPr>
                      <w:ilvl w:val="0"/>
                      <w:numId w:val="7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Privilegiare modalità di intervento per classi aperte o per gruppi di studenti con le medesime criticità.</w:t>
                  </w:r>
                </w:p>
                <w:p w:rsidR="00000000" w:rsidDel="00000000" w:rsidP="00000000" w:rsidRDefault="00000000" w:rsidRPr="00000000" w14:paraId="00000030">
                  <w:pPr>
                    <w:numPr>
                      <w:ilvl w:val="0"/>
                      <w:numId w:val="7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Progettazione di specifici percorsi per risolvere le problematicità relative agli esiti delle prove standardizzate nazionali.</w:t>
                  </w:r>
                </w:p>
                <w:p w:rsidR="00000000" w:rsidDel="00000000" w:rsidP="00000000" w:rsidRDefault="00000000" w:rsidRPr="00000000" w14:paraId="00000031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after="160" w:before="300" w:line="264" w:lineRule="auto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7uvc8t3amj37" w:id="2"/>
            <w:bookmarkEnd w:id="2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AMBIENTE DI APPRENDIMENTO</w:t>
            </w:r>
          </w:p>
          <w:tbl>
            <w:tblPr>
              <w:tblStyle w:val="Table4"/>
              <w:tblW w:w="62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210"/>
              <w:tblGridChange w:id="0">
                <w:tblGrid>
                  <w:gridCol w:w="6210"/>
                </w:tblGrid>
              </w:tblGridChange>
            </w:tblGrid>
            <w:tr>
              <w:trPr>
                <w:cantSplit w:val="0"/>
                <w:trHeight w:val="810" w:hRule="atLeast"/>
                <w:tblHeader w:val="0"/>
              </w:trPr>
              <w:tc>
                <w:tcPr>
                  <w:tcBorders>
                    <w:top w:color="ffffff" w:space="0" w:sz="12" w:val="single"/>
                    <w:left w:color="ffffff" w:space="0" w:sz="12" w:val="single"/>
                    <w:bottom w:color="ffffff" w:space="0" w:sz="12" w:val="single"/>
                    <w:right w:color="ffffff" w:space="0" w:sz="12" w:val="single"/>
                  </w:tcBorders>
                  <w:shd w:fill="ffffff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numPr>
                      <w:ilvl w:val="0"/>
                      <w:numId w:val="10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Diffondere pratiche innovative, basate sulla didattica attiva e laboratoriale, per favorire l'innalzamento degli esiti nelle competenze di base</w:t>
                  </w:r>
                </w:p>
                <w:p w:rsidR="00000000" w:rsidDel="00000000" w:rsidP="00000000" w:rsidRDefault="00000000" w:rsidRPr="00000000" w14:paraId="00000035">
                  <w:pPr>
                    <w:numPr>
                      <w:ilvl w:val="0"/>
                      <w:numId w:val="10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Generalizzare la pratica di didattiche innovative (in coerenza con il PNSD)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spacing w:after="160" w:before="300" w:line="264" w:lineRule="auto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lwbykgx21aze" w:id="3"/>
            <w:bookmarkEnd w:id="3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Sviluppo e valorizzazione delle risorse umane</w:t>
            </w:r>
          </w:p>
          <w:tbl>
            <w:tblPr>
              <w:tblStyle w:val="Table5"/>
              <w:tblW w:w="62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210"/>
              <w:tblGridChange w:id="0">
                <w:tblGrid>
                  <w:gridCol w:w="6210"/>
                </w:tblGrid>
              </w:tblGridChange>
            </w:tblGrid>
            <w:tr>
              <w:trPr>
                <w:cantSplit w:val="0"/>
                <w:trHeight w:val="810" w:hRule="atLeast"/>
                <w:tblHeader w:val="0"/>
              </w:trPr>
              <w:tc>
                <w:tcPr>
                  <w:tcBorders>
                    <w:top w:color="ffffff" w:space="0" w:sz="12" w:val="single"/>
                    <w:left w:color="ffffff" w:space="0" w:sz="12" w:val="single"/>
                    <w:bottom w:color="ffffff" w:space="0" w:sz="12" w:val="single"/>
                    <w:right w:color="ffffff" w:space="0" w:sz="12" w:val="single"/>
                  </w:tcBorders>
                  <w:shd w:fill="ffffff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Istituzione di un gruppo di lavoro (Referenti INVALSI, Unità di valutazione e miglioramento) con l'incarico di monitorare e valutare l'andamento del percorso di miglioramento.</w:t>
                  </w:r>
                </w:p>
                <w:p w:rsidR="00000000" w:rsidDel="00000000" w:rsidP="00000000" w:rsidRDefault="00000000" w:rsidRPr="00000000" w14:paraId="00000038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Migliorare la professionalità docente attraverso una specifica formazione nell'ambito della didattica per competenze e un potenziamento e consolidamento delle competenze digitali.</w:t>
                  </w:r>
                </w:p>
                <w:p w:rsidR="00000000" w:rsidDel="00000000" w:rsidP="00000000" w:rsidRDefault="00000000" w:rsidRPr="00000000" w14:paraId="00000039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after="160" w:before="300" w:line="264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bookmarkStart w:colFirst="0" w:colLast="0" w:name="_q2ebpl75sryb" w:id="0"/>
                  <w:bookmarkEnd w:id="0"/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OBIETTIVI DI PROCESSO</w:t>
                  </w:r>
                </w:p>
                <w:p w:rsidR="00000000" w:rsidDel="00000000" w:rsidP="00000000" w:rsidRDefault="00000000" w:rsidRPr="00000000" w14:paraId="0000003C">
                  <w:pPr>
                    <w:spacing w:after="160" w:before="300" w:line="264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bookmarkStart w:colFirst="0" w:colLast="0" w:name="_71ql592yzjjf" w:id="1"/>
                  <w:bookmarkEnd w:id="1"/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Curricolo, progettazione e valutazione</w:t>
                  </w:r>
                </w:p>
                <w:tbl>
                  <w:tblPr>
                    <w:tblStyle w:val="Table6"/>
                    <w:tblW w:w="6210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6210"/>
                    <w:tblGridChange w:id="0">
                      <w:tblGrid>
                        <w:gridCol w:w="6210"/>
                      </w:tblGrid>
                    </w:tblGridChange>
                  </w:tblGrid>
                  <w:tr>
                    <w:trPr>
                      <w:cantSplit w:val="0"/>
                      <w:trHeight w:val="999.9609375" w:hRule="atLeast"/>
                      <w:tblHeader w:val="0"/>
                    </w:trPr>
                    <w:tc>
                      <w:tcPr>
                        <w:tcBorders>
                          <w:top w:color="ffffff" w:space="0" w:sz="12" w:val="single"/>
                          <w:left w:color="ffffff" w:space="0" w:sz="12" w:val="single"/>
                          <w:bottom w:color="ffffff" w:space="0" w:sz="12" w:val="single"/>
                          <w:right w:color="ffffff" w:space="0" w:sz="12" w:val="single"/>
                        </w:tcBorders>
                        <w:shd w:fill="ffffff" w:val="clear"/>
                        <w:tcMar>
                          <w:top w:w="80.0" w:type="dxa"/>
                          <w:left w:w="80.0" w:type="dxa"/>
                          <w:bottom w:w="80.0" w:type="dxa"/>
                          <w:right w:w="8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D">
                        <w:pPr>
                          <w:numPr>
                            <w:ilvl w:val="0"/>
                            <w:numId w:val="8"/>
                          </w:numPr>
                          <w:ind w:left="720" w:hanging="360"/>
                          <w:rPr>
                            <w:rFonts w:ascii="Calibri" w:cs="Calibri" w:eastAsia="Calibri" w:hAnsi="Calibri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Diffondere pratiche innovative, basate sulla didattica attiva e laboratoriale, per favorire l'innalzamento degli esiti nelle competenze di base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3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F">
                  <w:pPr>
                    <w:spacing w:after="160" w:before="300" w:line="264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bookmarkStart w:colFirst="0" w:colLast="0" w:name="_7uvc8t3amj37" w:id="2"/>
                  <w:bookmarkEnd w:id="2"/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Ambiente di apprendimento</w:t>
                  </w:r>
                </w:p>
                <w:p w:rsidR="00000000" w:rsidDel="00000000" w:rsidP="00000000" w:rsidRDefault="00000000" w:rsidRPr="00000000" w14:paraId="00000040">
                  <w:pPr>
                    <w:numPr>
                      <w:ilvl w:val="0"/>
                      <w:numId w:val="4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Promozione di ambienti di apprendimento significativi e flessibili, all'interno dei quali gli alunni costruiscano il proprio sapere insieme agli altri sperimentando la cooperazione, il rispetto, la responsabilità e la consapevolezza dell'interdipendenza</w:t>
                  </w:r>
                </w:p>
                <w:p w:rsidR="00000000" w:rsidDel="00000000" w:rsidP="00000000" w:rsidRDefault="00000000" w:rsidRPr="00000000" w14:paraId="00000041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200" w:line="276" w:lineRule="auto"/>
        <w:jc w:val="both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DESCRIZIONE DEL PROGETTO ED ATTIVITA’ PREVISTE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OBIETTIVI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DESTINATARI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DOCENTI COINVOLTI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Balthazar" w:cs="Balthazar" w:eastAsia="Balthazar" w:hAnsi="Balthaza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TEMPISTICA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Periodo di attuazione previsto:</w:t>
            </w:r>
            <w:r w:rsidDel="00000000" w:rsidR="00000000" w:rsidRPr="00000000">
              <w:rPr>
                <w:rFonts w:ascii="Balthazar" w:cs="Balthazar" w:eastAsia="Balthazar" w:hAnsi="Balthazar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Ore complessive di effettiva docenza previste: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ACRI,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I DOCENTI        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Acri, 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Visto: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                                                                                                Prof.ssa Maria Brunetti</w:t>
      </w:r>
    </w:p>
    <w:p w:rsidR="00000000" w:rsidDel="00000000" w:rsidP="00000000" w:rsidRDefault="00000000" w:rsidRPr="00000000" w14:paraId="00000074">
      <w:pPr>
        <w:ind w:left="43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autografa sostituita a mezzo stampa ex Dlgs 39/93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</w:t>
        <w:tab/>
        <w:tab/>
        <w:tab/>
        <w:tab/>
        <w:tab/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Bookman Old Style"/>
  <w:font w:name="Balthazar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