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ISTITUTO D’ISTRUZIONE SUPERIORE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“JULIA-F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0"/>
        </w:rPr>
        <w:t xml:space="preserve">ALCONE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ACRI (CS)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Scheda di progetto a. s. 20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0"/>
        </w:rPr>
        <w:t xml:space="preserve">24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- 20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8"/>
          <w:szCs w:val="28"/>
          <w:u w:val="single"/>
          <w:rtl w:val="0"/>
        </w:rPr>
        <w:t xml:space="preserve">ANAGRAFICA 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althazar" w:cs="Balthazar" w:eastAsia="Balthazar" w:hAnsi="Balthazar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althazar" w:cs="Balthazar" w:eastAsia="Balthazar" w:hAnsi="Balthazar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althazar" w:cs="Balthazar" w:eastAsia="Balthazar" w:hAnsi="Balthazar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0"/>
        <w:gridCol w:w="1215"/>
        <w:gridCol w:w="6420"/>
        <w:tblGridChange w:id="0">
          <w:tblGrid>
            <w:gridCol w:w="2370"/>
            <w:gridCol w:w="1215"/>
            <w:gridCol w:w="642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COERENZA CON I DOCUMENTI D’ISTITUTO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PTOF 2022/25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Priorità fissate per il servizio di istruzione e formazione nel triennio di riferimento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Pianificazione ampliamento offerta formativa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RAV Sezione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ESITI </w:t>
              <w:tab/>
            </w:r>
          </w:p>
          <w:p w:rsidR="00000000" w:rsidDel="00000000" w:rsidP="00000000" w:rsidRDefault="00000000" w:rsidRPr="00000000" w14:paraId="00000018">
            <w:pPr>
              <w:jc w:val="both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RISULTATI SCOLASTICI - RISULTATI NELLE PROVE STANDARDIZZATE NAZIONALI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PRIORITÀ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Innalzamento dei risultati scolastici con particolare riferimento alle discipline di indirizzo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Adozione di strategie per il miglioramento delle competenze degli studenti soprattutto in Matematica, attraverso lo svolgimento di un percorso di autovalutazione, secondo cui la partecipazione alle prove standardizzate è una delle tappe per autovalutarsi e migliorarsi.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TRAGUARDI</w:t>
              <w:tab/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Miglioramento degli esiti, in termini di competenze, nelle valutazioni intermedie e finali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5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Innalzamento dei risultati nelle prove standardizzate in Italiano e Matematica.</w:t>
            </w:r>
          </w:p>
          <w:p w:rsidR="00000000" w:rsidDel="00000000" w:rsidP="00000000" w:rsidRDefault="00000000" w:rsidRPr="00000000" w14:paraId="00000022">
            <w:pPr>
              <w:pageBreakBefore w:val="0"/>
              <w:ind w:left="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COMPETENZE CHIAVE EUROPEE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PRIORITÀ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9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Promuovere l'acquisizione di competenze di cittadinanza attiva e ispirate alla legalità.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TRAGUARDI</w:t>
              <w:tab/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7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Attraverso l'elaborazione del curricolo di cittadinanza, promuovere negli alunni la consapevolezza del proprio ruolo civico-sociale, individuale e collettivo, in termini di acquisizione di competenze di cittadinanza attiva, digitale, ecosistemica e costituzionale.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PdM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after="160" w:before="300" w:line="264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  <w:u w:val="single"/>
              </w:rPr>
            </w:pPr>
            <w:bookmarkStart w:colFirst="0" w:colLast="0" w:name="_q2ebpl75sryb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OBIETTIVI DI PROCESSO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160" w:before="300" w:line="264" w:lineRule="auto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71ql592yzjjf" w:id="1"/>
            <w:bookmarkEnd w:id="1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Curricolo, progettazione e valutazione</w:t>
            </w:r>
          </w:p>
          <w:tbl>
            <w:tblPr>
              <w:tblStyle w:val="Table3"/>
              <w:tblW w:w="621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6210"/>
              <w:tblGridChange w:id="0">
                <w:tblGrid>
                  <w:gridCol w:w="6210"/>
                </w:tblGrid>
              </w:tblGridChange>
            </w:tblGrid>
            <w:tr>
              <w:trPr>
                <w:cantSplit w:val="0"/>
                <w:trHeight w:val="495" w:hRule="atLeast"/>
                <w:tblHeader w:val="0"/>
              </w:trPr>
              <w:tc>
                <w:tcPr>
                  <w:tcBorders>
                    <w:top w:color="ffffff" w:space="0" w:sz="12" w:val="single"/>
                    <w:left w:color="ffffff" w:space="0" w:sz="12" w:val="single"/>
                    <w:bottom w:color="ffffff" w:space="0" w:sz="12" w:val="single"/>
                    <w:right w:color="ffffff" w:space="0" w:sz="12" w:val="single"/>
                  </w:tcBorders>
                  <w:shd w:fill="ffffff" w:val="clear"/>
                  <w:tcMar>
                    <w:top w:w="80.0" w:type="dxa"/>
                    <w:left w:w="80.0" w:type="dxa"/>
                    <w:bottom w:w="80.0" w:type="dxa"/>
                    <w:right w:w="8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Privilegiare modalità di intervento per classi aperte o per gruppi di studenti con le medesime criticità.</w:t>
                  </w:r>
                </w:p>
                <w:p w:rsidR="00000000" w:rsidDel="00000000" w:rsidP="00000000" w:rsidRDefault="00000000" w:rsidRPr="00000000" w14:paraId="00000030">
                  <w:pPr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Progettazione di specifici percorsi per risolvere le problematicità relative agli esiti delle prove standardizzate nazionali.</w:t>
                  </w:r>
                </w:p>
                <w:p w:rsidR="00000000" w:rsidDel="00000000" w:rsidP="00000000" w:rsidRDefault="00000000" w:rsidRPr="00000000" w14:paraId="00000031">
                  <w:pPr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2">
                  <w:pPr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3">
            <w:pPr>
              <w:spacing w:after="160" w:before="300" w:line="264" w:lineRule="auto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7uvc8t3amj37" w:id="2"/>
            <w:bookmarkEnd w:id="2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AMBIENTE DI APPRENDIMENTO</w:t>
            </w:r>
          </w:p>
          <w:tbl>
            <w:tblPr>
              <w:tblStyle w:val="Table4"/>
              <w:tblW w:w="621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6210"/>
              <w:tblGridChange w:id="0">
                <w:tblGrid>
                  <w:gridCol w:w="6210"/>
                </w:tblGrid>
              </w:tblGridChange>
            </w:tblGrid>
            <w:tr>
              <w:trPr>
                <w:cantSplit w:val="0"/>
                <w:trHeight w:val="810" w:hRule="atLeast"/>
                <w:tblHeader w:val="0"/>
              </w:trPr>
              <w:tc>
                <w:tcPr>
                  <w:tcBorders>
                    <w:top w:color="ffffff" w:space="0" w:sz="12" w:val="single"/>
                    <w:left w:color="ffffff" w:space="0" w:sz="12" w:val="single"/>
                    <w:bottom w:color="ffffff" w:space="0" w:sz="12" w:val="single"/>
                    <w:right w:color="ffffff" w:space="0" w:sz="12" w:val="single"/>
                  </w:tcBorders>
                  <w:shd w:fill="ffffff" w:val="clear"/>
                  <w:tcMar>
                    <w:top w:w="80.0" w:type="dxa"/>
                    <w:left w:w="80.0" w:type="dxa"/>
                    <w:bottom w:w="80.0" w:type="dxa"/>
                    <w:right w:w="8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numPr>
                      <w:ilvl w:val="0"/>
                      <w:numId w:val="6"/>
                    </w:numPr>
                    <w:ind w:left="720" w:hanging="36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Diffondere pratiche innovative, basate sulla didattica attiva e laboratoriale, per favorire l'innalzamento degli esiti nelle competenze di base</w:t>
                  </w:r>
                </w:p>
                <w:p w:rsidR="00000000" w:rsidDel="00000000" w:rsidP="00000000" w:rsidRDefault="00000000" w:rsidRPr="00000000" w14:paraId="00000035">
                  <w:pPr>
                    <w:numPr>
                      <w:ilvl w:val="0"/>
                      <w:numId w:val="6"/>
                    </w:numPr>
                    <w:ind w:left="720" w:hanging="36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Generalizzare la pratica di didattiche innovative (in coerenza con il PNSD)</w:t>
                  </w:r>
                </w:p>
              </w:tc>
            </w:tr>
          </w:tbl>
          <w:p w:rsidR="00000000" w:rsidDel="00000000" w:rsidP="00000000" w:rsidRDefault="00000000" w:rsidRPr="00000000" w14:paraId="00000036">
            <w:pPr>
              <w:spacing w:after="160" w:before="300" w:line="264" w:lineRule="auto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lwbykgx21aze" w:id="3"/>
            <w:bookmarkEnd w:id="3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Sviluppo e valorizzazione delle risorse umane</w:t>
            </w:r>
          </w:p>
          <w:tbl>
            <w:tblPr>
              <w:tblStyle w:val="Table5"/>
              <w:tblW w:w="621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6210"/>
              <w:tblGridChange w:id="0">
                <w:tblGrid>
                  <w:gridCol w:w="6210"/>
                </w:tblGrid>
              </w:tblGridChange>
            </w:tblGrid>
            <w:tr>
              <w:trPr>
                <w:cantSplit w:val="0"/>
                <w:trHeight w:val="810" w:hRule="atLeast"/>
                <w:tblHeader w:val="0"/>
              </w:trPr>
              <w:tc>
                <w:tcPr>
                  <w:tcBorders>
                    <w:top w:color="ffffff" w:space="0" w:sz="12" w:val="single"/>
                    <w:left w:color="ffffff" w:space="0" w:sz="12" w:val="single"/>
                    <w:bottom w:color="ffffff" w:space="0" w:sz="12" w:val="single"/>
                    <w:right w:color="ffffff" w:space="0" w:sz="12" w:val="single"/>
                  </w:tcBorders>
                  <w:shd w:fill="ffffff" w:val="clear"/>
                  <w:tcMar>
                    <w:top w:w="80.0" w:type="dxa"/>
                    <w:left w:w="80.0" w:type="dxa"/>
                    <w:bottom w:w="80.0" w:type="dxa"/>
                    <w:right w:w="8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numPr>
                      <w:ilvl w:val="0"/>
                      <w:numId w:val="8"/>
                    </w:numPr>
                    <w:ind w:left="720" w:hanging="36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Istituzione di un gruppo di lavoro (Referenti INVALSI, Unità di valutazione e miglioramento) con l'incarico di monitorare e valutare l'andamento del percorso di miglioramento.</w:t>
                  </w:r>
                </w:p>
                <w:p w:rsidR="00000000" w:rsidDel="00000000" w:rsidP="00000000" w:rsidRDefault="00000000" w:rsidRPr="00000000" w14:paraId="00000038">
                  <w:pPr>
                    <w:numPr>
                      <w:ilvl w:val="0"/>
                      <w:numId w:val="8"/>
                    </w:numPr>
                    <w:ind w:left="720" w:hanging="36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Migliorare la professionalità docente attraverso una specifica formazione nell'ambito della didattica per competenze e un potenziamento e consolidamento delle competenze digitali.</w:t>
                  </w:r>
                </w:p>
                <w:p w:rsidR="00000000" w:rsidDel="00000000" w:rsidP="00000000" w:rsidRDefault="00000000" w:rsidRPr="00000000" w14:paraId="00000039">
                  <w:pPr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A">
                  <w:pPr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B">
                  <w:pPr>
                    <w:spacing w:after="160" w:before="300" w:line="264" w:lineRule="auto"/>
                    <w:jc w:val="both"/>
                    <w:rPr>
                      <w:sz w:val="24"/>
                      <w:szCs w:val="24"/>
                      <w:u w:val="single"/>
                    </w:rPr>
                  </w:pPr>
                  <w:bookmarkStart w:colFirst="0" w:colLast="0" w:name="_q2ebpl75sryb" w:id="0"/>
                  <w:bookmarkEnd w:id="0"/>
                  <w:r w:rsidDel="00000000" w:rsidR="00000000" w:rsidRPr="00000000">
                    <w:rPr>
                      <w:sz w:val="24"/>
                      <w:szCs w:val="24"/>
                      <w:u w:val="single"/>
                      <w:rtl w:val="0"/>
                    </w:rPr>
                    <w:t xml:space="preserve">OBIETTIVI DI PROCESSO</w:t>
                  </w:r>
                </w:p>
                <w:p w:rsidR="00000000" w:rsidDel="00000000" w:rsidP="00000000" w:rsidRDefault="00000000" w:rsidRPr="00000000" w14:paraId="0000003C">
                  <w:pPr>
                    <w:spacing w:after="160" w:before="300" w:line="264" w:lineRule="auto"/>
                    <w:jc w:val="both"/>
                    <w:rPr>
                      <w:sz w:val="24"/>
                      <w:szCs w:val="24"/>
                      <w:u w:val="single"/>
                    </w:rPr>
                  </w:pPr>
                  <w:bookmarkStart w:colFirst="0" w:colLast="0" w:name="_71ql592yzjjf" w:id="1"/>
                  <w:bookmarkEnd w:id="1"/>
                  <w:r w:rsidDel="00000000" w:rsidR="00000000" w:rsidRPr="00000000">
                    <w:rPr>
                      <w:sz w:val="24"/>
                      <w:szCs w:val="24"/>
                      <w:u w:val="single"/>
                      <w:rtl w:val="0"/>
                    </w:rPr>
                    <w:t xml:space="preserve">Curricolo, progettazione e valutazione</w:t>
                  </w:r>
                </w:p>
                <w:tbl>
                  <w:tblPr>
                    <w:tblStyle w:val="Table6"/>
                    <w:tblW w:w="6210.0" w:type="dxa"/>
                    <w:jc w:val="left"/>
                    <w:tbl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  <w:insideH w:color="000000" w:space="0" w:sz="0" w:val="nil"/>
                      <w:insideV w:color="000000" w:space="0" w:sz="0" w:val="nil"/>
                    </w:tblBorders>
                    <w:tblLayout w:type="fixed"/>
                    <w:tblLook w:val="0600"/>
                  </w:tblPr>
                  <w:tblGrid>
                    <w:gridCol w:w="6210"/>
                    <w:tblGridChange w:id="0">
                      <w:tblGrid>
                        <w:gridCol w:w="6210"/>
                      </w:tblGrid>
                    </w:tblGridChange>
                  </w:tblGrid>
                  <w:tr>
                    <w:trPr>
                      <w:cantSplit w:val="0"/>
                      <w:trHeight w:val="999.9609375" w:hRule="atLeast"/>
                      <w:tblHeader w:val="0"/>
                    </w:trPr>
                    <w:tc>
                      <w:tcPr>
                        <w:tcBorders>
                          <w:top w:color="ffffff" w:space="0" w:sz="12" w:val="single"/>
                          <w:left w:color="ffffff" w:space="0" w:sz="12" w:val="single"/>
                          <w:bottom w:color="ffffff" w:space="0" w:sz="12" w:val="single"/>
                          <w:right w:color="ffffff" w:space="0" w:sz="12" w:val="single"/>
                        </w:tcBorders>
                        <w:shd w:fill="ffffff" w:val="clear"/>
                        <w:tcMar>
                          <w:top w:w="80.0" w:type="dxa"/>
                          <w:left w:w="80.0" w:type="dxa"/>
                          <w:bottom w:w="80.0" w:type="dxa"/>
                          <w:right w:w="8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3D">
                        <w:pPr>
                          <w:numPr>
                            <w:ilvl w:val="0"/>
                            <w:numId w:val="10"/>
                          </w:numPr>
                          <w:ind w:left="720" w:hanging="360"/>
                          <w:rPr>
                            <w:rFonts w:ascii="Calibri" w:cs="Calibri" w:eastAsia="Calibri" w:hAnsi="Calibri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sz w:val="24"/>
                            <w:szCs w:val="24"/>
                            <w:rtl w:val="0"/>
                          </w:rPr>
                          <w:t xml:space="preserve">Diffondere pratiche innovative, basate sulla didattica attiva e laboratoriale, per favorire l'innalzamento degli esiti nelle competenze di base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3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3F">
                  <w:pPr>
                    <w:spacing w:after="160" w:before="300" w:line="264" w:lineRule="auto"/>
                    <w:jc w:val="both"/>
                    <w:rPr>
                      <w:sz w:val="24"/>
                      <w:szCs w:val="24"/>
                      <w:u w:val="single"/>
                    </w:rPr>
                  </w:pPr>
                  <w:bookmarkStart w:colFirst="0" w:colLast="0" w:name="_7uvc8t3amj37" w:id="2"/>
                  <w:bookmarkEnd w:id="2"/>
                  <w:r w:rsidDel="00000000" w:rsidR="00000000" w:rsidRPr="00000000">
                    <w:rPr>
                      <w:sz w:val="24"/>
                      <w:szCs w:val="24"/>
                      <w:u w:val="single"/>
                      <w:rtl w:val="0"/>
                    </w:rPr>
                    <w:t xml:space="preserve">Ambiente di apprendimento</w:t>
                  </w:r>
                </w:p>
                <w:p w:rsidR="00000000" w:rsidDel="00000000" w:rsidP="00000000" w:rsidRDefault="00000000" w:rsidRPr="00000000" w14:paraId="00000040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Promozione di ambienti di apprendimento significativi e flessibili, all'interno dei quali gli alunni costruiscano il proprio sapere insieme agli altri sperimentando la cooperazione, il rispetto, la responsabilità e la consapevolezza dell'interdipendenza</w:t>
                  </w:r>
                </w:p>
                <w:p w:rsidR="00000000" w:rsidDel="00000000" w:rsidP="00000000" w:rsidRDefault="00000000" w:rsidRPr="00000000" w14:paraId="00000041">
                  <w:pPr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2">
            <w:pPr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spacing w:after="200" w:line="276" w:lineRule="auto"/>
        <w:jc w:val="both"/>
        <w:rPr>
          <w:rFonts w:ascii="Balthazar" w:cs="Balthazar" w:eastAsia="Balthazar" w:hAnsi="Balthazar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althazar" w:cs="Balthazar" w:eastAsia="Balthazar" w:hAnsi="Balthazar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8"/>
          <w:szCs w:val="28"/>
          <w:u w:val="single"/>
          <w:rtl w:val="0"/>
        </w:rPr>
        <w:t xml:space="preserve">DESCRIZIONE DEL PROGETTO ED ATTIVITA’ PREVISTE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lthazar" w:cs="Balthazar" w:eastAsia="Balthazar" w:hAnsi="Balthaza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Balthazar" w:cs="Balthazar" w:eastAsia="Balthazar" w:hAnsi="Balthaza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8"/>
          <w:szCs w:val="28"/>
          <w:u w:val="single"/>
          <w:rtl w:val="0"/>
        </w:rPr>
        <w:t xml:space="preserve">OBIETTIVI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8"/>
          <w:szCs w:val="28"/>
          <w:u w:val="single"/>
          <w:rtl w:val="0"/>
        </w:rPr>
        <w:t xml:space="preserve">DESTINATARI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lthazar" w:cs="Balthazar" w:eastAsia="Balthazar" w:hAnsi="Balthazar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lthazar" w:cs="Balthazar" w:eastAsia="Balthazar" w:hAnsi="Balthaza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althazar" w:cs="Balthazar" w:eastAsia="Balthazar" w:hAnsi="Balthazar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8"/>
          <w:szCs w:val="28"/>
          <w:u w:val="single"/>
          <w:rtl w:val="0"/>
        </w:rPr>
        <w:t xml:space="preserve">DOCENTI COINVOLTI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lthazar" w:cs="Balthazar" w:eastAsia="Balthazar" w:hAnsi="Balthaza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Balthazar" w:cs="Balthazar" w:eastAsia="Balthazar" w:hAnsi="Balthaza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8"/>
          <w:szCs w:val="28"/>
          <w:u w:val="single"/>
          <w:rtl w:val="0"/>
        </w:rPr>
        <w:t xml:space="preserve">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lthazar" w:cs="Balthazar" w:eastAsia="Balthazar" w:hAnsi="Balthaza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lthazar" w:cs="Balthazar" w:eastAsia="Balthazar" w:hAnsi="Balthaza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lthazar" w:cs="Balthazar" w:eastAsia="Balthazar" w:hAnsi="Balthaza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8"/>
          <w:szCs w:val="28"/>
          <w:u w:val="single"/>
          <w:rtl w:val="0"/>
        </w:rPr>
        <w:t xml:space="preserve">TEMPISTICA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althazar" w:cs="Balthazar" w:eastAsia="Balthazar" w:hAnsi="Balthazar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Periodo di attuazione previsto:</w:t>
            </w:r>
            <w:r w:rsidDel="00000000" w:rsidR="00000000" w:rsidRPr="00000000">
              <w:rPr>
                <w:rFonts w:ascii="Balthazar" w:cs="Balthazar" w:eastAsia="Balthazar" w:hAnsi="Balthazar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althazar" w:cs="Balthazar" w:eastAsia="Balthazar" w:hAnsi="Balthaza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althazar" w:cs="Balthazar" w:eastAsia="Balthazar" w:hAnsi="Balthazar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althazar" w:cs="Balthazar" w:eastAsia="Balthazar" w:hAnsi="Balthazar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Ore complessive di effettiva docenza previste: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althazar" w:cs="Balthazar" w:eastAsia="Balthazar" w:hAnsi="Balthazar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althazar" w:cs="Balthazar" w:eastAsia="Balthazar" w:hAnsi="Balthazar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8"/>
          <w:szCs w:val="28"/>
          <w:rtl w:val="0"/>
        </w:rPr>
        <w:t xml:space="preserve">ACRI,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8"/>
          <w:szCs w:val="28"/>
          <w:rtl w:val="0"/>
        </w:rPr>
        <w:t xml:space="preserve">I DOCENTI        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althazar" w:cs="Balthazar" w:eastAsia="Balthazar" w:hAnsi="Balthaza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althazar" w:cs="Balthazar" w:eastAsia="Balthazar" w:hAnsi="Balthaza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8"/>
          <w:szCs w:val="28"/>
          <w:rtl w:val="0"/>
        </w:rPr>
        <w:t xml:space="preserve">Acri, 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/</w:t>
      </w:r>
      <w:r w:rsidDel="00000000" w:rsidR="00000000" w:rsidRPr="00000000">
        <w:rPr>
          <w:rFonts w:ascii="Balthazar" w:cs="Balthazar" w:eastAsia="Balthazar" w:hAnsi="Balthazar"/>
          <w:b w:val="1"/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Balthazar" w:cs="Balthazar" w:eastAsia="Balthazar" w:hAnsi="Balthazar"/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Visto: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althazar" w:cs="Balthazar" w:eastAsia="Balthazar" w:hAnsi="Balthazar"/>
          <w:b w:val="1"/>
          <w:sz w:val="28"/>
          <w:szCs w:val="28"/>
        </w:rPr>
      </w:pPr>
      <w:r w:rsidDel="00000000" w:rsidR="00000000" w:rsidRPr="00000000">
        <w:rPr>
          <w:rFonts w:ascii="Balthazar" w:cs="Balthazar" w:eastAsia="Balthazar" w:hAnsi="Balthazar"/>
          <w:b w:val="1"/>
          <w:sz w:val="28"/>
          <w:szCs w:val="28"/>
          <w:rtl w:val="0"/>
        </w:rPr>
        <w:t xml:space="preserve">                                                                                                 Il Dirigente scolastico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althazar" w:cs="Balthazar" w:eastAsia="Balthazar" w:hAnsi="Balthazar"/>
          <w:b w:val="1"/>
          <w:sz w:val="28"/>
          <w:szCs w:val="28"/>
        </w:rPr>
      </w:pPr>
      <w:r w:rsidDel="00000000" w:rsidR="00000000" w:rsidRPr="00000000">
        <w:rPr>
          <w:rFonts w:ascii="Balthazar" w:cs="Balthazar" w:eastAsia="Balthazar" w:hAnsi="Balthazar"/>
          <w:b w:val="1"/>
          <w:sz w:val="28"/>
          <w:szCs w:val="28"/>
          <w:rtl w:val="0"/>
        </w:rPr>
        <w:t xml:space="preserve">                                                                                                Prof.ssa Maria Brunetti</w:t>
      </w:r>
    </w:p>
    <w:p w:rsidR="00000000" w:rsidDel="00000000" w:rsidP="00000000" w:rsidRDefault="00000000" w:rsidRPr="00000000" w14:paraId="00000074">
      <w:pPr>
        <w:ind w:left="4320"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Firma autografa sostituita a mezzo stampa ex Dlgs 39/93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both"/>
        <w:rPr>
          <w:rFonts w:ascii="Balthazar" w:cs="Balthazar" w:eastAsia="Balthazar" w:hAnsi="Balthazar"/>
          <w:b w:val="1"/>
          <w:sz w:val="36"/>
          <w:szCs w:val="36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1"/>
          <w:sz w:val="28"/>
          <w:szCs w:val="28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</w:t>
        <w:tab/>
        <w:tab/>
        <w:tab/>
        <w:tab/>
        <w:tab/>
        <w:tab/>
        <w:tab/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Bookman Old Style"/>
  <w:font w:name="Balthazar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